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63" w:rsidRDefault="00744463">
      <w:pPr>
        <w:rPr>
          <w:rFonts w:ascii="Century Gothic" w:eastAsia="Century Gothic" w:hAnsi="Century Gothic" w:cs="Century Gothic"/>
        </w:rPr>
      </w:pPr>
      <w:bookmarkStart w:id="0" w:name="_GoBack"/>
      <w:bookmarkEnd w:id="0"/>
    </w:p>
    <w:tbl>
      <w:tblPr>
        <w:tblStyle w:val="a"/>
        <w:tblW w:w="11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20"/>
      </w:tblGrid>
      <w:tr w:rsidR="00744463">
        <w:trPr>
          <w:jc w:val="center"/>
        </w:trPr>
        <w:tc>
          <w:tcPr>
            <w:tcW w:w="1112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463" w:rsidRDefault="00637493">
            <w:pPr>
              <w:jc w:val="center"/>
              <w:rPr>
                <w:rFonts w:ascii="Calibri" w:eastAsia="Calibri" w:hAnsi="Calibri" w:cs="Calibri"/>
                <w:b/>
                <w:color w:val="93328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Establishing a Home Learning Environment</w:t>
            </w:r>
          </w:p>
        </w:tc>
      </w:tr>
      <w:tr w:rsidR="00744463">
        <w:trPr>
          <w:trHeight w:val="360"/>
          <w:jc w:val="center"/>
        </w:trPr>
        <w:tc>
          <w:tcPr>
            <w:tcW w:w="1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463" w:rsidRDefault="00637493">
            <w:pP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What are some school expectations that I can reinforce at home to extend the school environment to my home?</w:t>
            </w:r>
          </w:p>
        </w:tc>
      </w:tr>
      <w:tr w:rsidR="00744463">
        <w:trPr>
          <w:jc w:val="center"/>
        </w:trPr>
        <w:tc>
          <w:tcPr>
            <w:tcW w:w="1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463" w:rsidRDefault="0063749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Columbus School graduates global, creative, and empathic leaders.</w:t>
            </w:r>
          </w:p>
          <w:p w:rsidR="00744463" w:rsidRDefault="0074446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44463" w:rsidRDefault="0063749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School-wide expectations:</w:t>
            </w:r>
          </w:p>
          <w:p w:rsidR="00744463" w:rsidRDefault="0063749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Respect Self, Respect Others, Respect the Environment</w:t>
            </w:r>
          </w:p>
        </w:tc>
      </w:tr>
      <w:tr w:rsidR="00744463">
        <w:trPr>
          <w:jc w:val="center"/>
        </w:trPr>
        <w:tc>
          <w:tcPr>
            <w:tcW w:w="1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463" w:rsidRDefault="00637493">
            <w:pP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How can I help my child focus on their learning activities and persevere when needed?</w:t>
            </w:r>
          </w:p>
        </w:tc>
      </w:tr>
      <w:tr w:rsidR="00744463">
        <w:trPr>
          <w:jc w:val="center"/>
        </w:trPr>
        <w:tc>
          <w:tcPr>
            <w:tcW w:w="1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463" w:rsidRDefault="0063749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Tips for Home Learning:</w:t>
            </w:r>
          </w:p>
          <w:p w:rsidR="00744463" w:rsidRDefault="00637493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Create a daily routine so your children always know when it will be time to focus on learn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ing. Most Columbus teachers have reading or math first thing in the morning. </w:t>
            </w:r>
          </w:p>
          <w:p w:rsidR="00744463" w:rsidRDefault="00637493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your children set academic and social &amp; emotional goals prior to working. Ex. What do you plan to work on today? What will you do if you get stuck? How can I support you? 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udents set Wildly Important Goals at school. Encourage them to continue them at home or create new ones. </w:t>
            </w:r>
          </w:p>
          <w:p w:rsidR="00744463" w:rsidRDefault="00637493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Determine the time when your child is best able to focus. For some children, this is the first thing in the morning and for others, it is in the after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noon. We highly recommend trying to emulate a typical school day schedule to ease transition once we return to school.</w:t>
            </w:r>
          </w:p>
          <w:p w:rsidR="00744463" w:rsidRDefault="00637493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Ensure your child is receiving adequate sleep and is well-rested when they begin their school work.</w:t>
            </w:r>
          </w:p>
          <w:p w:rsidR="00744463" w:rsidRDefault="00637493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Keep device screens within your view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monitor screens anytime children are working online to ensure they are actively engaged in the digital school work and resources provided.</w:t>
            </w:r>
          </w:p>
          <w:p w:rsidR="00744463" w:rsidRDefault="00637493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Provide your child with frequent encouragement and reminders as needed.</w:t>
            </w:r>
          </w:p>
          <w:p w:rsidR="00744463" w:rsidRDefault="00637493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Find the workspace where your child works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best. For some children, it is sitting in their favorite spot on the couch and for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others,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it may be standing at the kitchen table.</w:t>
            </w:r>
          </w:p>
          <w:p w:rsidR="00744463" w:rsidRDefault="00637493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Allow your child to take a movement or sensory break every 30-60 minutes at regular intervals.</w:t>
            </w:r>
          </w:p>
          <w:p w:rsidR="00744463" w:rsidRDefault="00637493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Once your child is done work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ing for the day, ask them to reflect. Ex. What did you learn today? What did you accomplish today? What did you find challenging today? </w:t>
            </w:r>
          </w:p>
        </w:tc>
      </w:tr>
      <w:tr w:rsidR="00744463">
        <w:trPr>
          <w:jc w:val="center"/>
        </w:trPr>
        <w:tc>
          <w:tcPr>
            <w:tcW w:w="1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463" w:rsidRDefault="00637493">
            <w:pP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How can my child get support and assistance if they are unable to complete a task or are confused?</w:t>
            </w:r>
          </w:p>
        </w:tc>
      </w:tr>
      <w:tr w:rsidR="00744463">
        <w:trPr>
          <w:jc w:val="center"/>
        </w:trPr>
        <w:tc>
          <w:tcPr>
            <w:tcW w:w="1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463" w:rsidRDefault="0063749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Please refer to your child’s teacher’s Remote Learning Plan to find how a student can ask for assistance from a teacher or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how  you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can get a question answered. They can be found on our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website at columbus.cps.edu</w:t>
              </w:r>
            </w:hyperlink>
          </w:p>
          <w:p w:rsidR="00744463" w:rsidRDefault="0074446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44463" w:rsidRDefault="0063749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Most teachers will hold “Office Hours” on a daily basis. Students can contact them via Google Classroom or email. </w:t>
            </w:r>
          </w:p>
        </w:tc>
      </w:tr>
    </w:tbl>
    <w:p w:rsidR="00744463" w:rsidRDefault="00744463"/>
    <w:sectPr w:rsidR="0074446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7493">
      <w:pPr>
        <w:spacing w:line="240" w:lineRule="auto"/>
      </w:pPr>
      <w:r>
        <w:separator/>
      </w:r>
    </w:p>
  </w:endnote>
  <w:endnote w:type="continuationSeparator" w:id="0">
    <w:p w:rsidR="00000000" w:rsidRDefault="00637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li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7493">
      <w:pPr>
        <w:spacing w:line="240" w:lineRule="auto"/>
      </w:pPr>
      <w:r>
        <w:separator/>
      </w:r>
    </w:p>
  </w:footnote>
  <w:footnote w:type="continuationSeparator" w:id="0">
    <w:p w:rsidR="00000000" w:rsidRDefault="006374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63" w:rsidRDefault="00637493">
    <w:pPr>
      <w:rPr>
        <w:rFonts w:ascii="Century Gothic" w:eastAsia="Century Gothic" w:hAnsi="Century Gothic" w:cs="Century Gothic"/>
        <w:b/>
        <w:color w:val="0033A0"/>
        <w:sz w:val="36"/>
        <w:szCs w:val="36"/>
      </w:rPr>
    </w:pPr>
    <w:r>
      <w:rPr>
        <w:rFonts w:ascii="Century Gothic" w:eastAsia="Century Gothic" w:hAnsi="Century Gothic" w:cs="Century Gothic"/>
        <w:b/>
        <w:color w:val="0033A0"/>
        <w:sz w:val="36"/>
        <w:szCs w:val="36"/>
      </w:rPr>
      <w:t>Establishing a Home Learning Environment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145C"/>
    <w:multiLevelType w:val="multilevel"/>
    <w:tmpl w:val="88A0C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463"/>
    <w:rsid w:val="00637493"/>
    <w:rsid w:val="0074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uli" w:eastAsia="Muli" w:hAnsi="Muli" w:cs="Muli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b/>
      <w:i/>
      <w:color w:val="0033A0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008EAA"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93328E"/>
    </w:rPr>
  </w:style>
  <w:style w:type="paragraph" w:styleId="Heading4">
    <w:name w:val="heading 4"/>
    <w:basedOn w:val="Normal"/>
    <w:next w:val="Normal"/>
    <w:pPr>
      <w:outlineLvl w:val="3"/>
    </w:pPr>
    <w:rPr>
      <w:b/>
      <w:color w:val="78BE20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b/>
      <w:color w:val="0033A0"/>
      <w:sz w:val="42"/>
      <w:szCs w:val="42"/>
    </w:rPr>
  </w:style>
  <w:style w:type="paragraph" w:styleId="Subtitle">
    <w:name w:val="Subtitle"/>
    <w:basedOn w:val="Normal"/>
    <w:next w:val="Normal"/>
    <w:rPr>
      <w:i/>
      <w:color w:val="66666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uli" w:eastAsia="Muli" w:hAnsi="Muli" w:cs="Muli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b/>
      <w:i/>
      <w:color w:val="0033A0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008EAA"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93328E"/>
    </w:rPr>
  </w:style>
  <w:style w:type="paragraph" w:styleId="Heading4">
    <w:name w:val="heading 4"/>
    <w:basedOn w:val="Normal"/>
    <w:next w:val="Normal"/>
    <w:pPr>
      <w:outlineLvl w:val="3"/>
    </w:pPr>
    <w:rPr>
      <w:b/>
      <w:color w:val="78BE20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b/>
      <w:color w:val="0033A0"/>
      <w:sz w:val="42"/>
      <w:szCs w:val="42"/>
    </w:rPr>
  </w:style>
  <w:style w:type="paragraph" w:styleId="Subtitle">
    <w:name w:val="Subtitle"/>
    <w:basedOn w:val="Normal"/>
    <w:next w:val="Normal"/>
    <w:rPr>
      <w:i/>
      <w:color w:val="66666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umbus.cp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Oleksy, Wendy A</dc:creator>
  <cp:lastModifiedBy>Chicago Public Schools</cp:lastModifiedBy>
  <cp:revision>2</cp:revision>
  <dcterms:created xsi:type="dcterms:W3CDTF">2020-04-06T17:40:00Z</dcterms:created>
  <dcterms:modified xsi:type="dcterms:W3CDTF">2020-04-06T17:40:00Z</dcterms:modified>
</cp:coreProperties>
</file>